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0227" w14:textId="77777777" w:rsidR="00832FA1" w:rsidRDefault="00832FA1" w:rsidP="00832FA1">
      <w:pPr>
        <w:pStyle w:val="Textkrper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Betriebsvereinbarung: Schichtbesetzungen</w:t>
      </w:r>
    </w:p>
    <w:p w14:paraId="5E4850E2" w14:textId="77777777" w:rsidR="00036773" w:rsidRDefault="00036773" w:rsidP="00832FA1">
      <w:pPr>
        <w:autoSpaceDE w:val="0"/>
        <w:autoSpaceDN w:val="0"/>
        <w:adjustRightInd w:val="0"/>
        <w:rPr>
          <w:color w:val="000000"/>
        </w:rPr>
      </w:pPr>
    </w:p>
    <w:p w14:paraId="1753C938" w14:textId="77777777" w:rsidR="00832FA1" w:rsidRDefault="00832FA1" w:rsidP="00832FA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zwischen der ………………. GmbH, vertreten durch den Geschäftsführer, ……………</w:t>
      </w:r>
    </w:p>
    <w:p w14:paraId="045B1807" w14:textId="77777777" w:rsidR="00832FA1" w:rsidRDefault="00832FA1" w:rsidP="00832FA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– Arbeitgeberin –</w:t>
      </w:r>
    </w:p>
    <w:p w14:paraId="35B57E3D" w14:textId="77777777" w:rsidR="00832FA1" w:rsidRDefault="00832FA1" w:rsidP="00832FA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und deren Betriebsrat, vertreten durch dessen Betriebsratsvorsitzenden, …………………</w:t>
      </w:r>
    </w:p>
    <w:p w14:paraId="0EB8BEC2" w14:textId="77777777" w:rsidR="00832FA1" w:rsidRDefault="00832FA1" w:rsidP="00832FA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– Betriebsrat –</w:t>
      </w:r>
    </w:p>
    <w:p w14:paraId="607ACEB9" w14:textId="77777777" w:rsidR="00832FA1" w:rsidRDefault="00832FA1" w:rsidP="00832FA1">
      <w:pPr>
        <w:spacing w:before="240"/>
        <w:ind w:right="-141"/>
      </w:pPr>
      <w:r>
        <w:t xml:space="preserve">Der Schichtbetrieb im Krankenhaus hat zur Versorgung der </w:t>
      </w:r>
      <w:r w:rsidR="00C419E1">
        <w:t xml:space="preserve">Patient/inn/en </w:t>
      </w:r>
      <w:r>
        <w:t xml:space="preserve">die </w:t>
      </w:r>
      <w:r w:rsidR="00036773">
        <w:t>notwendige Personalp</w:t>
      </w:r>
      <w:r>
        <w:t xml:space="preserve">räsenz an allen Wochentagen abzudecken. Die Anforderungen und Arbeitsspitzen sind oft nur schwer planbar. Die Betriebsparteien stellen den Schutz vor Überlastung (ArbSchG § 3) sicher. Um solche Auslastungsspitzen zu bewältige, planen und setzen sie nach dem über die Wochentage und Tageszeit variierenden Bedarf ausreichend Personal ein. </w:t>
      </w:r>
    </w:p>
    <w:p w14:paraId="62597C87" w14:textId="77777777" w:rsidR="00832FA1" w:rsidRDefault="00832FA1" w:rsidP="00832FA1">
      <w:pPr>
        <w:numPr>
          <w:ilvl w:val="0"/>
          <w:numId w:val="1"/>
        </w:numPr>
        <w:spacing w:beforeLines="60" w:before="144"/>
        <w:ind w:left="426" w:hanging="426"/>
        <w:rPr>
          <w:b/>
        </w:rPr>
      </w:pPr>
      <w:r>
        <w:rPr>
          <w:b/>
        </w:rPr>
        <w:t>Geltungsbereich</w:t>
      </w:r>
    </w:p>
    <w:p w14:paraId="1E0B2169" w14:textId="77777777" w:rsidR="00832FA1" w:rsidRDefault="00832FA1" w:rsidP="00832FA1">
      <w:r>
        <w:t>Die folgenden Regelungen gelten</w:t>
      </w:r>
    </w:p>
    <w:p w14:paraId="2C0D6EDF" w14:textId="77777777" w:rsidR="00832FA1" w:rsidRDefault="00832FA1" w:rsidP="00832FA1">
      <w:pPr>
        <w:ind w:left="1276" w:hanging="1276"/>
      </w:pPr>
      <w:r>
        <w:t xml:space="preserve">persönlich </w:t>
      </w:r>
      <w:r>
        <w:tab/>
        <w:t xml:space="preserve">für Arbeitnehmer/innen im Sinne BetrVG § 5 der </w:t>
      </w:r>
      <w:r>
        <w:rPr>
          <w:color w:val="000000"/>
        </w:rPr>
        <w:t>……………… GmbH</w:t>
      </w:r>
      <w:r>
        <w:t>.</w:t>
      </w:r>
    </w:p>
    <w:p w14:paraId="1A631D8E" w14:textId="77777777" w:rsidR="00832FA1" w:rsidRDefault="00832FA1" w:rsidP="00832FA1">
      <w:pPr>
        <w:ind w:left="1276" w:hanging="1276"/>
      </w:pPr>
      <w:r>
        <w:t xml:space="preserve">zeitlich </w:t>
      </w:r>
      <w:r>
        <w:tab/>
        <w:t>ab dem Tag der Unterzeichnung und</w:t>
      </w:r>
    </w:p>
    <w:p w14:paraId="6771A16E" w14:textId="77777777" w:rsidR="00832FA1" w:rsidRDefault="00832FA1" w:rsidP="00832FA1">
      <w:pPr>
        <w:ind w:left="1276" w:right="-566" w:hanging="1276"/>
      </w:pPr>
      <w:r>
        <w:t>inhaltlich</w:t>
      </w:r>
      <w:r>
        <w:tab/>
      </w:r>
      <w:r w:rsidR="00036773">
        <w:t xml:space="preserve">für </w:t>
      </w:r>
      <w:r>
        <w:t>die geplante Optimal- und sichergestellte Mindestbesetzung der Schichten.</w:t>
      </w:r>
    </w:p>
    <w:p w14:paraId="0D4AF8CB" w14:textId="77777777" w:rsidR="00832FA1" w:rsidRDefault="00832FA1" w:rsidP="00832FA1">
      <w:pPr>
        <w:numPr>
          <w:ilvl w:val="0"/>
          <w:numId w:val="1"/>
        </w:numPr>
        <w:spacing w:beforeLines="60" w:before="144"/>
        <w:ind w:left="426" w:hanging="426"/>
        <w:rPr>
          <w:b/>
        </w:rPr>
      </w:pPr>
      <w:r>
        <w:rPr>
          <w:b/>
        </w:rPr>
        <w:t>Vermeidung von Alleinarbeit</w:t>
      </w:r>
    </w:p>
    <w:p w14:paraId="10373294" w14:textId="77777777" w:rsidR="00832FA1" w:rsidRDefault="00832FA1" w:rsidP="00832FA1">
      <w:pPr>
        <w:autoSpaceDE w:val="0"/>
        <w:autoSpaceDN w:val="0"/>
        <w:adjustRightInd w:val="0"/>
        <w:spacing w:before="80"/>
        <w:ind w:left="1701" w:hanging="1701"/>
      </w:pPr>
      <w:r>
        <w:rPr>
          <w:b/>
        </w:rPr>
        <w:t>Planbesetzung:</w:t>
      </w:r>
      <w:r>
        <w:t xml:space="preserve"> </w:t>
      </w:r>
      <w:r>
        <w:tab/>
        <w:t xml:space="preserve">In den Schichtplänen werden alle Schichten mindestens doppelt besetzt. </w:t>
      </w:r>
    </w:p>
    <w:p w14:paraId="309C1F66" w14:textId="77777777" w:rsidR="00832FA1" w:rsidRDefault="00832FA1" w:rsidP="00832FA1">
      <w:pPr>
        <w:autoSpaceDE w:val="0"/>
        <w:autoSpaceDN w:val="0"/>
        <w:adjustRightInd w:val="0"/>
        <w:spacing w:before="80"/>
        <w:ind w:left="1701" w:hanging="1701"/>
      </w:pPr>
      <w:r>
        <w:rPr>
          <w:b/>
        </w:rPr>
        <w:t>Istbesetzung:</w:t>
      </w:r>
      <w:r>
        <w:t xml:space="preserve"> </w:t>
      </w:r>
      <w:r>
        <w:tab/>
        <w:t>Die Arbeitgeberin weist im Zuge ihrer Beurteilung der Arbeitsplätze (ArbSchG § 5) diejenigen aus, an denen zumindest vorübergehend erhöhte (BGI/GUV-I 5032) gefährliche (DGUV Regel 100-001: 2.7.1) Alleinarbeit (DGUV-Vorschrift 1 Grundsätze der Prävention § 8 Abs. 2; DGUV Regel 100-001: 2.7.2) geleistet wird. Dies geschieht durch den Zusatz „A“ im Dienstplan hinter dem Namen des/der auf diesem Arbeitsplatz verplanten Arbeitnehmers/in. Diese Schichten werden auch in den Pausenzeiten mindestens doppelt besetzt.</w:t>
      </w:r>
    </w:p>
    <w:p w14:paraId="706D5867" w14:textId="77777777" w:rsidR="00832FA1" w:rsidRDefault="00832FA1" w:rsidP="00832FA1">
      <w:pPr>
        <w:numPr>
          <w:ilvl w:val="0"/>
          <w:numId w:val="1"/>
        </w:numPr>
        <w:spacing w:beforeLines="60" w:before="144"/>
        <w:ind w:left="426" w:hanging="426"/>
        <w:rPr>
          <w:b/>
        </w:rPr>
      </w:pPr>
      <w:r>
        <w:rPr>
          <w:b/>
        </w:rPr>
        <w:t>Feststellung des erwarteten Personaleinsatzes in der Pflege</w:t>
      </w:r>
    </w:p>
    <w:p w14:paraId="2DE56B25" w14:textId="77777777" w:rsidR="00832FA1" w:rsidRDefault="00832FA1" w:rsidP="00832FA1">
      <w:pPr>
        <w:autoSpaceDE w:val="0"/>
        <w:autoSpaceDN w:val="0"/>
        <w:adjustRightInd w:val="0"/>
        <w:spacing w:before="80"/>
      </w:pPr>
      <w:r>
        <w:t>Die Arbeitgeberin erhebt täglich in allen bettenführenden Abteilungen</w:t>
      </w:r>
      <w:r w:rsidR="00237A1F">
        <w:t xml:space="preserve"> – mit Ausnahme der Intensivstation - </w:t>
      </w:r>
      <w:r>
        <w:t>den Pflegebedarf in Minuten</w:t>
      </w:r>
      <w:r w:rsidR="001F0B0F">
        <w:t xml:space="preserve"> (Anlage)</w:t>
      </w:r>
      <w:r>
        <w:t>. Der sich so ergebende Gesamt-Arbeitseinsatzbedarf (Bedarfsminuten : 60 : 7,7 = Besetzung aller Schichten am Wochentag) wird im Plan des Folgeturnus über die Schichten an den entsprechenden Wochentagen hinweg eingeplant.</w:t>
      </w:r>
    </w:p>
    <w:p w14:paraId="554C2A81" w14:textId="77777777" w:rsidR="00832FA1" w:rsidRDefault="00832FA1" w:rsidP="00832FA1">
      <w:pPr>
        <w:autoSpaceDE w:val="0"/>
        <w:autoSpaceDN w:val="0"/>
        <w:adjustRightInd w:val="0"/>
        <w:spacing w:before="80"/>
      </w:pPr>
      <w:r>
        <w:t>Für Feiertage wird der Bedarfswert an Sonntagen zugrunde gelegt.</w:t>
      </w:r>
    </w:p>
    <w:p w14:paraId="66077C50" w14:textId="77777777" w:rsidR="00832FA1" w:rsidRDefault="00832FA1" w:rsidP="00832FA1">
      <w:pPr>
        <w:autoSpaceDE w:val="0"/>
        <w:autoSpaceDN w:val="0"/>
        <w:adjustRightInd w:val="0"/>
        <w:spacing w:before="80"/>
      </w:pPr>
      <w:r>
        <w:t>Die Arbeitgeberin teilt den dokumentierten so zu erwartenden Personalbedarf je Wochentag dem Arbeitsbereich und dem Betriebsrat mit.</w:t>
      </w:r>
    </w:p>
    <w:p w14:paraId="48390704" w14:textId="77777777" w:rsidR="00832FA1" w:rsidRDefault="00832FA1" w:rsidP="00832FA1">
      <w:pPr>
        <w:autoSpaceDE w:val="0"/>
        <w:autoSpaceDN w:val="0"/>
        <w:adjustRightInd w:val="0"/>
        <w:spacing w:before="80"/>
      </w:pPr>
      <w:r>
        <w:t xml:space="preserve">Aufgrund von ihm im Planungsturnus erwarteter Belegungsschwankungen kann der Arbeitgeber abweichend vom ermittelten Erfahrungswert geringere Schichtbesetzungen planen. Gleichzeitig werden für diese Wochentage </w:t>
      </w:r>
      <w:r w:rsidR="00036773">
        <w:t xml:space="preserve">entsprechend anteilig </w:t>
      </w:r>
      <w:r>
        <w:t>Betten für eine Belegung gesperrt. Beides wird in den Schichtplänen ausgewiesen.</w:t>
      </w:r>
    </w:p>
    <w:p w14:paraId="4ECF0B41" w14:textId="77777777" w:rsidR="00832FA1" w:rsidRDefault="00832FA1" w:rsidP="00832FA1">
      <w:pPr>
        <w:autoSpaceDE w:val="0"/>
        <w:autoSpaceDN w:val="0"/>
        <w:adjustRightInd w:val="0"/>
        <w:spacing w:before="80"/>
      </w:pPr>
    </w:p>
    <w:p w14:paraId="77EF9E8B" w14:textId="77777777" w:rsidR="00832FA1" w:rsidRDefault="00832FA1" w:rsidP="00832FA1">
      <w:r>
        <w:t>............................................, den .......................</w:t>
      </w:r>
    </w:p>
    <w:p w14:paraId="3EA223D8" w14:textId="77777777" w:rsidR="00832FA1" w:rsidRDefault="00832FA1" w:rsidP="00832FA1">
      <w:pPr>
        <w:tabs>
          <w:tab w:val="left" w:pos="4962"/>
        </w:tabs>
      </w:pPr>
      <w:r>
        <w:t>Für die Arbeitgeberin</w:t>
      </w:r>
      <w:r>
        <w:tab/>
        <w:t>Für den Betriebsrat</w:t>
      </w:r>
    </w:p>
    <w:p w14:paraId="6D45FE4A" w14:textId="77777777" w:rsidR="00832FA1" w:rsidRDefault="00832FA1" w:rsidP="00832FA1">
      <w:pPr>
        <w:tabs>
          <w:tab w:val="left" w:pos="4962"/>
        </w:tabs>
      </w:pPr>
    </w:p>
    <w:p w14:paraId="31396182" w14:textId="77777777" w:rsidR="00832FA1" w:rsidRDefault="00832FA1" w:rsidP="00832FA1">
      <w:pPr>
        <w:tabs>
          <w:tab w:val="left" w:pos="4962"/>
        </w:tabs>
      </w:pPr>
      <w:r>
        <w:t>___________________</w:t>
      </w:r>
      <w:r>
        <w:tab/>
        <w:t>____________________</w:t>
      </w:r>
    </w:p>
    <w:p w14:paraId="015E7F30" w14:textId="77777777" w:rsidR="00237A1F" w:rsidRDefault="00832FA1" w:rsidP="00832FA1">
      <w:pPr>
        <w:tabs>
          <w:tab w:val="left" w:pos="4962"/>
        </w:tabs>
      </w:pPr>
      <w:r>
        <w:t>Geschäftsführer</w:t>
      </w:r>
      <w:r>
        <w:tab/>
        <w:t>Vorsitzende des Betriebsrates</w:t>
      </w:r>
    </w:p>
    <w:p w14:paraId="21420871" w14:textId="77777777" w:rsidR="0050686B" w:rsidRDefault="0050686B">
      <w:pPr>
        <w:spacing w:after="160" w:line="259" w:lineRule="auto"/>
      </w:pPr>
    </w:p>
    <w:p w14:paraId="7D4A8CC6" w14:textId="77777777" w:rsidR="00237A1F" w:rsidRPr="0050686B" w:rsidRDefault="0050686B" w:rsidP="0050686B">
      <w:pPr>
        <w:spacing w:after="160" w:line="259" w:lineRule="auto"/>
        <w:jc w:val="right"/>
        <w:rPr>
          <w:b/>
        </w:rPr>
      </w:pPr>
      <w:r w:rsidRPr="0050686B">
        <w:rPr>
          <w:b/>
        </w:rPr>
        <w:lastRenderedPageBreak/>
        <w:t>Anlage</w:t>
      </w:r>
      <w:r w:rsidR="00971B1F">
        <w:rPr>
          <w:b/>
        </w:rPr>
        <w:t>: „Bedarfsermittlung“</w:t>
      </w:r>
      <w:r w:rsidR="00237A1F" w:rsidRPr="0050686B">
        <w:rPr>
          <w:b/>
        </w:rPr>
        <w:br w:type="page"/>
      </w:r>
    </w:p>
    <w:p w14:paraId="30077656" w14:textId="77777777" w:rsidR="00C22891" w:rsidRPr="001F0B0F" w:rsidRDefault="00237A1F" w:rsidP="00971B1F">
      <w:pPr>
        <w:tabs>
          <w:tab w:val="left" w:pos="4962"/>
        </w:tabs>
        <w:spacing w:after="120"/>
        <w:rPr>
          <w:b/>
        </w:rPr>
      </w:pPr>
      <w:r w:rsidRPr="001F0B0F">
        <w:rPr>
          <w:b/>
        </w:rPr>
        <w:lastRenderedPageBreak/>
        <w:t>Anlage</w:t>
      </w:r>
      <w:r w:rsidR="001F0B0F">
        <w:rPr>
          <w:b/>
        </w:rPr>
        <w:t xml:space="preserve"> zur „</w:t>
      </w:r>
      <w:r w:rsidR="001F0B0F" w:rsidRPr="001F0B0F">
        <w:rPr>
          <w:b/>
        </w:rPr>
        <w:t>Betriebsvereinbarung: Schichtbesetzungen</w:t>
      </w:r>
      <w:r w:rsidR="001F0B0F">
        <w:rPr>
          <w:b/>
        </w:rPr>
        <w:t>“</w:t>
      </w:r>
    </w:p>
    <w:p w14:paraId="2953A0C7" w14:textId="77777777" w:rsidR="00237A1F" w:rsidRDefault="00971B1F" w:rsidP="00971B1F">
      <w:pPr>
        <w:tabs>
          <w:tab w:val="left" w:pos="4962"/>
        </w:tabs>
        <w:spacing w:after="120"/>
      </w:pPr>
      <w:r>
        <w:rPr>
          <w:b/>
        </w:rPr>
        <w:t>Bedarfsermittlung</w:t>
      </w:r>
    </w:p>
    <w:p w14:paraId="084BBC7A" w14:textId="77777777" w:rsidR="00237A1F" w:rsidRDefault="00237A1F" w:rsidP="001F0B0F">
      <w:pPr>
        <w:tabs>
          <w:tab w:val="left" w:pos="4962"/>
        </w:tabs>
        <w:spacing w:after="120"/>
      </w:pPr>
      <w:r w:rsidRPr="00237A1F">
        <w:t>Zur Ermittlung de</w:t>
      </w:r>
      <w:r w:rsidR="00F66732">
        <w:t>r</w:t>
      </w:r>
      <w:r w:rsidRPr="00237A1F">
        <w:t xml:space="preserve"> Bedarfs</w:t>
      </w:r>
      <w:r w:rsidR="00F66732">
        <w:t>minuten</w:t>
      </w:r>
      <w:r w:rsidRPr="00237A1F">
        <w:t xml:space="preserve"> an Fachpersonal für die Krankenpflege </w:t>
      </w:r>
      <w:r w:rsidR="00F66732">
        <w:t>ordnet die Arbeitgeberin ihre</w:t>
      </w:r>
      <w:r w:rsidRPr="00237A1F">
        <w:t xml:space="preserve"> Patienten auf Grund der für sie notwendigen Pflegeleistungen den Pflegestufen A1 bis A3 </w:t>
      </w:r>
      <w:r w:rsidR="00F66732">
        <w:t xml:space="preserve">(Grundpflege) </w:t>
      </w:r>
      <w:r w:rsidRPr="00237A1F">
        <w:t xml:space="preserve">und  S1 bis S3 </w:t>
      </w:r>
      <w:r w:rsidR="00F66732">
        <w:t xml:space="preserve">(Behandlungspflege) </w:t>
      </w:r>
      <w:r w:rsidRPr="00237A1F">
        <w:t xml:space="preserve">einmal täglich </w:t>
      </w:r>
      <w:r w:rsidR="00F66732">
        <w:t xml:space="preserve">nach </w:t>
      </w:r>
      <w:r w:rsidR="0050686B">
        <w:t xml:space="preserve">dem Aufwand </w:t>
      </w:r>
      <w:r w:rsidRPr="00237A1F">
        <w:t>zu:</w:t>
      </w:r>
    </w:p>
    <w:p w14:paraId="5C8A410D" w14:textId="77777777" w:rsidR="00AC097D" w:rsidRPr="00AC097D" w:rsidRDefault="00AC097D" w:rsidP="00AC097D">
      <w:pPr>
        <w:ind w:left="357"/>
      </w:pPr>
      <w:r w:rsidRPr="00AC097D">
        <w:rPr>
          <w:b/>
          <w:bCs/>
        </w:rPr>
        <w:t>A1</w:t>
      </w:r>
      <w:r w:rsidRPr="00AC097D">
        <w:t xml:space="preserve"> umfa</w:t>
      </w:r>
      <w:r w:rsidR="00F46287">
        <w:t>ss</w:t>
      </w:r>
      <w:r w:rsidRPr="00AC097D">
        <w:t xml:space="preserve">t alle Leistungen für </w:t>
      </w:r>
      <w:r w:rsidR="00C419E1">
        <w:t xml:space="preserve">Patient/inn/en </w:t>
      </w:r>
      <w:r w:rsidRPr="00AC097D">
        <w:t>ohne besonderen Pflegebedarf.</w:t>
      </w:r>
    </w:p>
    <w:p w14:paraId="3EEE7A6C" w14:textId="77777777" w:rsidR="00AC097D" w:rsidRPr="00AC097D" w:rsidRDefault="00AC097D" w:rsidP="00AC097D">
      <w:pPr>
        <w:ind w:left="357"/>
      </w:pPr>
      <w:r w:rsidRPr="00AC097D">
        <w:rPr>
          <w:b/>
          <w:bCs/>
        </w:rPr>
        <w:t>A2</w:t>
      </w:r>
      <w:r w:rsidRPr="00AC097D">
        <w:t xml:space="preserve"> bezeichnet </w:t>
      </w:r>
      <w:r w:rsidR="00C419E1">
        <w:t>Patient/inn/en</w:t>
      </w:r>
      <w:r w:rsidRPr="00AC097D">
        <w:t>, die Hilfestellungen in mindestens zwei Bereichen benötigen, z.B. Hilfe beim Aufstehen, Durchführung von Prophylaxen, Teilwäsche, Begleitung zum WC, Mahlzeiten mundgerecht aufbereiten.</w:t>
      </w:r>
    </w:p>
    <w:p w14:paraId="5DDB4DE2" w14:textId="77777777" w:rsidR="00AC097D" w:rsidRDefault="00AC097D" w:rsidP="00AC097D">
      <w:pPr>
        <w:ind w:left="357"/>
      </w:pPr>
      <w:r w:rsidRPr="00AC097D">
        <w:rPr>
          <w:b/>
          <w:bCs/>
        </w:rPr>
        <w:t>A3</w:t>
      </w:r>
      <w:r w:rsidRPr="00AC097D">
        <w:t xml:space="preserve"> bezeichnet </w:t>
      </w:r>
      <w:r w:rsidR="00C419E1">
        <w:t>Patient/inn/en</w:t>
      </w:r>
      <w:r w:rsidRPr="00AC097D">
        <w:t>, bei denen die Pflege in mindestens zwei Bereichen die Durchführung vollständig übernimmt, z.B. Lagerung, Ganzkörperwäsche, Versorgung bei Inkontinenz, Mahlzeiten anreichen, Überwachung bei Desorientierung.</w:t>
      </w:r>
    </w:p>
    <w:p w14:paraId="4147D056" w14:textId="77777777" w:rsidR="001F0B0F" w:rsidRDefault="0050686B" w:rsidP="001F0B0F">
      <w:pPr>
        <w:pStyle w:val="StandardWeb"/>
        <w:spacing w:before="0" w:beforeAutospacing="0" w:after="0" w:afterAutospacing="0"/>
        <w:ind w:left="1701" w:right="-709"/>
        <w:rPr>
          <w:sz w:val="20"/>
        </w:rPr>
      </w:pPr>
      <w:r w:rsidRPr="0050686B">
        <w:rPr>
          <w:sz w:val="20"/>
        </w:rPr>
        <w:t>Für die Zuordnung zu der Pflegestufe "A2" muss mindestens in zwei Leistungsbereichen je ein Einordnungsmerkmal zutre</w:t>
      </w:r>
      <w:r w:rsidR="001F0B0F">
        <w:rPr>
          <w:sz w:val="20"/>
        </w:rPr>
        <w:t>ffen.</w:t>
      </w:r>
    </w:p>
    <w:p w14:paraId="7B104908" w14:textId="77777777" w:rsidR="0050686B" w:rsidRPr="0050686B" w:rsidRDefault="001F0B0F" w:rsidP="001F0B0F">
      <w:pPr>
        <w:pStyle w:val="StandardWeb"/>
        <w:spacing w:before="0" w:beforeAutospacing="0" w:after="0" w:afterAutospacing="0"/>
        <w:ind w:left="1701" w:right="-709"/>
        <w:rPr>
          <w:sz w:val="20"/>
        </w:rPr>
      </w:pPr>
      <w:r>
        <w:rPr>
          <w:sz w:val="20"/>
        </w:rPr>
        <w:t>T</w:t>
      </w:r>
      <w:r w:rsidR="0050686B" w:rsidRPr="0050686B">
        <w:rPr>
          <w:sz w:val="20"/>
        </w:rPr>
        <w:t>rifft nur ein Einordnungsmerkmal aus "A2" zu und ist ein zweites aus "A3" gegeben, ist der Patient der Pflegestufe "A2" zuzuordnen.</w:t>
      </w:r>
    </w:p>
    <w:p w14:paraId="3ACEB749" w14:textId="77777777" w:rsidR="0050686B" w:rsidRPr="0050686B" w:rsidRDefault="0050686B" w:rsidP="001F0B0F">
      <w:pPr>
        <w:pStyle w:val="StandardWeb"/>
        <w:spacing w:before="0" w:beforeAutospacing="0" w:after="120" w:afterAutospacing="0"/>
        <w:ind w:left="1701" w:right="-709"/>
        <w:rPr>
          <w:sz w:val="20"/>
        </w:rPr>
      </w:pPr>
      <w:r w:rsidRPr="0050686B">
        <w:rPr>
          <w:sz w:val="20"/>
        </w:rPr>
        <w:t>Bei Vorliegen von mindestens zwei Einordnungsmerkmalen aus "A3" ist der Patient dieser Pflegestufe zu</w:t>
      </w:r>
      <w:r w:rsidR="001F0B0F">
        <w:rPr>
          <w:sz w:val="20"/>
        </w:rPr>
        <w:t>ge</w:t>
      </w:r>
      <w:r w:rsidRPr="0050686B">
        <w:rPr>
          <w:sz w:val="20"/>
        </w:rPr>
        <w:t>ordn</w:t>
      </w:r>
      <w:r w:rsidR="001F0B0F">
        <w:rPr>
          <w:sz w:val="20"/>
        </w:rPr>
        <w:t>et.</w:t>
      </w:r>
    </w:p>
    <w:p w14:paraId="275A3D45" w14:textId="77777777" w:rsidR="00AC097D" w:rsidRPr="00AC097D" w:rsidRDefault="00AC097D" w:rsidP="00AC097D">
      <w:pPr>
        <w:ind w:left="357"/>
      </w:pPr>
      <w:r w:rsidRPr="00AC097D">
        <w:rPr>
          <w:b/>
          <w:bCs/>
        </w:rPr>
        <w:t>S1</w:t>
      </w:r>
      <w:r w:rsidRPr="00AC097D">
        <w:t xml:space="preserve"> umfa</w:t>
      </w:r>
      <w:r w:rsidR="00F46287">
        <w:t>ss</w:t>
      </w:r>
      <w:r w:rsidRPr="00AC097D">
        <w:t>t Leistungen der Behandlungspflege, die nicht unter S2 oder S3 fallen, z.B. einmal täglich Blutdruck messen.</w:t>
      </w:r>
    </w:p>
    <w:p w14:paraId="4BED3A0F" w14:textId="77777777" w:rsidR="00AC097D" w:rsidRPr="00AC097D" w:rsidRDefault="00AC097D" w:rsidP="00AC097D">
      <w:pPr>
        <w:ind w:left="357"/>
      </w:pPr>
      <w:r w:rsidRPr="00AC097D">
        <w:rPr>
          <w:b/>
          <w:bCs/>
        </w:rPr>
        <w:t>S2</w:t>
      </w:r>
      <w:r w:rsidRPr="00AC097D">
        <w:t xml:space="preserve"> bezeichnet </w:t>
      </w:r>
      <w:r w:rsidR="00C419E1">
        <w:t>Patient/inn/en</w:t>
      </w:r>
      <w:r w:rsidRPr="00AC097D">
        <w:t>, die mindestens eine Leistung der Behandlungspflege mit erhöhtem Aufwand erhalten, z.B Dauerinfusionen, einfache Verbandswechsel, Kontrolle der Medikamenteneinnahme.</w:t>
      </w:r>
    </w:p>
    <w:p w14:paraId="66D941EA" w14:textId="77777777" w:rsidR="00AC097D" w:rsidRDefault="00AC097D" w:rsidP="00AC097D">
      <w:pPr>
        <w:ind w:left="357"/>
      </w:pPr>
      <w:r w:rsidRPr="00AC097D">
        <w:rPr>
          <w:b/>
          <w:bCs/>
        </w:rPr>
        <w:t>S3</w:t>
      </w:r>
      <w:r w:rsidRPr="00AC097D">
        <w:t xml:space="preserve"> bezeichnet </w:t>
      </w:r>
      <w:r w:rsidR="00C419E1">
        <w:t>Patient/inn/en</w:t>
      </w:r>
      <w:r w:rsidRPr="00AC097D">
        <w:t>, die mindestens eine Leistung der Behandlungspflege mit hohem Aufwand erhalten, z.B. Transfusionen, aufwändige Verbandswechsel, Überwachung bei Nebenwirkungen von Medikamenten.</w:t>
      </w:r>
    </w:p>
    <w:p w14:paraId="37C2A080" w14:textId="77777777" w:rsidR="0050686B" w:rsidRPr="0050686B" w:rsidRDefault="0050686B" w:rsidP="001F0B0F">
      <w:pPr>
        <w:pStyle w:val="StandardWeb"/>
        <w:spacing w:before="0" w:beforeAutospacing="0" w:after="0" w:afterAutospacing="0"/>
        <w:ind w:left="1701" w:right="-709"/>
        <w:rPr>
          <w:sz w:val="20"/>
        </w:rPr>
      </w:pPr>
      <w:r w:rsidRPr="0050686B">
        <w:rPr>
          <w:sz w:val="20"/>
        </w:rPr>
        <w:t>Für die Zuordnung zu der Pflegestufe "S2" muss mindestens in ein Einordnungsmerkmal zutreffen.</w:t>
      </w:r>
    </w:p>
    <w:p w14:paraId="409416F5" w14:textId="77777777" w:rsidR="0050686B" w:rsidRPr="0050686B" w:rsidRDefault="0050686B" w:rsidP="001F0B0F">
      <w:pPr>
        <w:pStyle w:val="StandardWeb"/>
        <w:spacing w:before="0" w:beforeAutospacing="0" w:after="0" w:afterAutospacing="0"/>
        <w:ind w:left="1701" w:right="-709"/>
        <w:rPr>
          <w:sz w:val="20"/>
        </w:rPr>
      </w:pPr>
      <w:r w:rsidRPr="0050686B">
        <w:rPr>
          <w:sz w:val="20"/>
        </w:rPr>
        <w:t>Eine Zuordnung nach "S3" erfolgt, wenn mindestens ein Einordnungsmerkmal aus "S3" zutrifft.</w:t>
      </w:r>
    </w:p>
    <w:p w14:paraId="0C418149" w14:textId="77777777" w:rsidR="00011662" w:rsidRDefault="00E26ADB" w:rsidP="00E26ADB">
      <w:pPr>
        <w:spacing w:before="100" w:beforeAutospacing="1" w:after="100" w:afterAutospacing="1"/>
      </w:pPr>
      <w:r>
        <w:t>Aus der Kombination dieser Zuordnungen ergeben sich folgende Durchschnitt</w:t>
      </w:r>
      <w:r w:rsidR="001F0B0F">
        <w:t>s-Minuten</w:t>
      </w:r>
      <w:r>
        <w:t>werte für den Pflegebedarf</w:t>
      </w:r>
      <w:r w:rsidR="0050686B">
        <w:t>:</w:t>
      </w:r>
    </w:p>
    <w:p w14:paraId="48097D8C" w14:textId="77777777" w:rsidR="00E26ADB" w:rsidRDefault="00E26ADB" w:rsidP="00E26ADB">
      <w:pPr>
        <w:pStyle w:val="Default"/>
        <w:ind w:left="1418"/>
      </w:pPr>
      <w:r>
        <w:t>Erwachsene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1240"/>
        <w:gridCol w:w="1240"/>
        <w:gridCol w:w="1240"/>
      </w:tblGrid>
      <w:tr w:rsidR="00E26ADB" w:rsidRPr="00E26ADB" w14:paraId="72D59F61" w14:textId="77777777" w:rsidTr="00E26ADB">
        <w:trPr>
          <w:trHeight w:val="288"/>
        </w:trPr>
        <w:tc>
          <w:tcPr>
            <w:tcW w:w="850" w:type="dxa"/>
            <w:tcBorders>
              <w:top w:val="nil"/>
              <w:lef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2F224E42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21111E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bCs/>
                <w:sz w:val="22"/>
                <w:szCs w:val="22"/>
              </w:rPr>
              <w:t>S1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9A8F41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bCs/>
                <w:sz w:val="22"/>
                <w:szCs w:val="22"/>
              </w:rPr>
              <w:t>S2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7684E9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bCs/>
                <w:sz w:val="22"/>
                <w:szCs w:val="22"/>
              </w:rPr>
              <w:t>S3</w:t>
            </w:r>
          </w:p>
        </w:tc>
      </w:tr>
      <w:tr w:rsidR="00E26ADB" w:rsidRPr="00E26ADB" w14:paraId="46759259" w14:textId="77777777" w:rsidTr="00E26ADB">
        <w:trPr>
          <w:trHeight w:val="288"/>
        </w:trPr>
        <w:tc>
          <w:tcPr>
            <w:tcW w:w="85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504A0C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sz w:val="22"/>
                <w:szCs w:val="22"/>
              </w:rPr>
              <w:t>A1</w:t>
            </w:r>
          </w:p>
        </w:tc>
        <w:tc>
          <w:tcPr>
            <w:tcW w:w="124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3560F1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124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D4A1F8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62</w:t>
            </w:r>
          </w:p>
        </w:tc>
        <w:tc>
          <w:tcPr>
            <w:tcW w:w="124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566536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88</w:t>
            </w:r>
          </w:p>
        </w:tc>
      </w:tr>
      <w:tr w:rsidR="00E26ADB" w:rsidRPr="00E26ADB" w14:paraId="4E351670" w14:textId="77777777" w:rsidTr="00E26ADB">
        <w:trPr>
          <w:trHeight w:val="288"/>
        </w:trPr>
        <w:tc>
          <w:tcPr>
            <w:tcW w:w="85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7C2FFC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sz w:val="22"/>
                <w:szCs w:val="22"/>
              </w:rPr>
              <w:t>A2</w:t>
            </w:r>
          </w:p>
        </w:tc>
        <w:tc>
          <w:tcPr>
            <w:tcW w:w="124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498D3E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98</w:t>
            </w:r>
          </w:p>
        </w:tc>
        <w:tc>
          <w:tcPr>
            <w:tcW w:w="124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BC744B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124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C622E2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134</w:t>
            </w:r>
          </w:p>
        </w:tc>
      </w:tr>
      <w:tr w:rsidR="00E26ADB" w:rsidRPr="00E26ADB" w14:paraId="1F1112E0" w14:textId="77777777" w:rsidTr="00E26ADB">
        <w:trPr>
          <w:trHeight w:val="288"/>
        </w:trPr>
        <w:tc>
          <w:tcPr>
            <w:tcW w:w="85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AA9489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sz w:val="22"/>
                <w:szCs w:val="22"/>
              </w:rPr>
              <w:t>A3</w:t>
            </w:r>
          </w:p>
        </w:tc>
        <w:tc>
          <w:tcPr>
            <w:tcW w:w="124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114168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179</w:t>
            </w:r>
          </w:p>
        </w:tc>
        <w:tc>
          <w:tcPr>
            <w:tcW w:w="124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07135E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189</w:t>
            </w:r>
          </w:p>
        </w:tc>
        <w:tc>
          <w:tcPr>
            <w:tcW w:w="124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7EB5CC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215</w:t>
            </w:r>
          </w:p>
        </w:tc>
      </w:tr>
    </w:tbl>
    <w:p w14:paraId="6D0DE4F4" w14:textId="77777777" w:rsidR="00011662" w:rsidRPr="00E26ADB" w:rsidRDefault="00011662" w:rsidP="00E26ADB">
      <w:pPr>
        <w:pStyle w:val="Default"/>
        <w:ind w:left="1418"/>
      </w:pPr>
    </w:p>
    <w:p w14:paraId="49154CB7" w14:textId="77777777" w:rsidR="00E26ADB" w:rsidRPr="00E26ADB" w:rsidRDefault="00E26ADB" w:rsidP="00E26ADB">
      <w:pPr>
        <w:pStyle w:val="Default"/>
        <w:ind w:left="1418"/>
      </w:pPr>
      <w:r w:rsidRPr="00E26ADB">
        <w:t>Säuglinge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782"/>
        <w:gridCol w:w="1240"/>
        <w:gridCol w:w="1240"/>
        <w:gridCol w:w="1274"/>
      </w:tblGrid>
      <w:tr w:rsidR="00E26ADB" w:rsidRPr="00E26ADB" w14:paraId="1509A079" w14:textId="77777777" w:rsidTr="00E26ADB">
        <w:trPr>
          <w:trHeight w:val="288"/>
        </w:trPr>
        <w:tc>
          <w:tcPr>
            <w:tcW w:w="782" w:type="dxa"/>
            <w:tcBorders>
              <w:top w:val="nil"/>
              <w:left w:val="nil"/>
            </w:tcBorders>
            <w:noWrap/>
            <w:hideMark/>
          </w:tcPr>
          <w:p w14:paraId="512CEDDC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hideMark/>
          </w:tcPr>
          <w:p w14:paraId="43ADE18B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sz w:val="22"/>
                <w:szCs w:val="22"/>
              </w:rPr>
              <w:t>S1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hideMark/>
          </w:tcPr>
          <w:p w14:paraId="00B27C6C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sz w:val="22"/>
                <w:szCs w:val="22"/>
              </w:rPr>
              <w:t>S2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hideMark/>
          </w:tcPr>
          <w:p w14:paraId="5A5BF66D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sz w:val="22"/>
                <w:szCs w:val="22"/>
              </w:rPr>
              <w:t>S3</w:t>
            </w:r>
          </w:p>
        </w:tc>
      </w:tr>
      <w:tr w:rsidR="00E26ADB" w:rsidRPr="00E26ADB" w14:paraId="38C93F63" w14:textId="77777777" w:rsidTr="00E26ADB">
        <w:trPr>
          <w:trHeight w:val="288"/>
        </w:trPr>
        <w:tc>
          <w:tcPr>
            <w:tcW w:w="782" w:type="dxa"/>
            <w:shd w:val="clear" w:color="auto" w:fill="D9D9D9" w:themeFill="background1" w:themeFillShade="D9"/>
            <w:noWrap/>
            <w:hideMark/>
          </w:tcPr>
          <w:p w14:paraId="2D5DFDFA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sz w:val="22"/>
                <w:szCs w:val="22"/>
              </w:rPr>
              <w:t>A1</w:t>
            </w:r>
          </w:p>
        </w:tc>
        <w:tc>
          <w:tcPr>
            <w:tcW w:w="1240" w:type="dxa"/>
            <w:noWrap/>
            <w:hideMark/>
          </w:tcPr>
          <w:p w14:paraId="09E52642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113</w:t>
            </w:r>
          </w:p>
        </w:tc>
        <w:tc>
          <w:tcPr>
            <w:tcW w:w="1240" w:type="dxa"/>
            <w:noWrap/>
            <w:hideMark/>
          </w:tcPr>
          <w:p w14:paraId="36F95B90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162</w:t>
            </w:r>
          </w:p>
        </w:tc>
        <w:tc>
          <w:tcPr>
            <w:tcW w:w="1274" w:type="dxa"/>
            <w:noWrap/>
            <w:hideMark/>
          </w:tcPr>
          <w:p w14:paraId="173A75E3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238</w:t>
            </w:r>
          </w:p>
        </w:tc>
      </w:tr>
      <w:tr w:rsidR="00E26ADB" w:rsidRPr="00E26ADB" w14:paraId="6C9F2225" w14:textId="77777777" w:rsidTr="00E26ADB">
        <w:trPr>
          <w:trHeight w:val="288"/>
        </w:trPr>
        <w:tc>
          <w:tcPr>
            <w:tcW w:w="782" w:type="dxa"/>
            <w:shd w:val="clear" w:color="auto" w:fill="D9D9D9" w:themeFill="background1" w:themeFillShade="D9"/>
            <w:noWrap/>
            <w:hideMark/>
          </w:tcPr>
          <w:p w14:paraId="1B917C1A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sz w:val="22"/>
                <w:szCs w:val="22"/>
              </w:rPr>
              <w:t>A2</w:t>
            </w:r>
          </w:p>
        </w:tc>
        <w:tc>
          <w:tcPr>
            <w:tcW w:w="1240" w:type="dxa"/>
            <w:noWrap/>
            <w:hideMark/>
          </w:tcPr>
          <w:p w14:paraId="3752C1B2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149</w:t>
            </w:r>
          </w:p>
        </w:tc>
        <w:tc>
          <w:tcPr>
            <w:tcW w:w="1240" w:type="dxa"/>
            <w:noWrap/>
            <w:hideMark/>
          </w:tcPr>
          <w:p w14:paraId="7CDD91BE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198</w:t>
            </w:r>
          </w:p>
        </w:tc>
        <w:tc>
          <w:tcPr>
            <w:tcW w:w="1274" w:type="dxa"/>
            <w:noWrap/>
            <w:hideMark/>
          </w:tcPr>
          <w:p w14:paraId="5B2D1C2F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274</w:t>
            </w:r>
          </w:p>
        </w:tc>
      </w:tr>
      <w:tr w:rsidR="00E26ADB" w:rsidRPr="00E26ADB" w14:paraId="31F6921F" w14:textId="77777777" w:rsidTr="00E26ADB">
        <w:trPr>
          <w:trHeight w:val="288"/>
        </w:trPr>
        <w:tc>
          <w:tcPr>
            <w:tcW w:w="782" w:type="dxa"/>
            <w:shd w:val="clear" w:color="auto" w:fill="D9D9D9" w:themeFill="background1" w:themeFillShade="D9"/>
            <w:noWrap/>
            <w:hideMark/>
          </w:tcPr>
          <w:p w14:paraId="2FEDD4F0" w14:textId="77777777" w:rsidR="00E26ADB" w:rsidRPr="00E26ADB" w:rsidRDefault="00E26ADB" w:rsidP="00E26ADB">
            <w:pPr>
              <w:pStyle w:val="Textkrper2"/>
              <w:ind w:left="284"/>
              <w:rPr>
                <w:sz w:val="22"/>
                <w:szCs w:val="22"/>
              </w:rPr>
            </w:pPr>
            <w:r w:rsidRPr="00E26ADB">
              <w:rPr>
                <w:sz w:val="22"/>
                <w:szCs w:val="22"/>
              </w:rPr>
              <w:t>A3</w:t>
            </w:r>
          </w:p>
        </w:tc>
        <w:tc>
          <w:tcPr>
            <w:tcW w:w="1240" w:type="dxa"/>
            <w:noWrap/>
            <w:hideMark/>
          </w:tcPr>
          <w:p w14:paraId="520EB974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236</w:t>
            </w:r>
          </w:p>
        </w:tc>
        <w:tc>
          <w:tcPr>
            <w:tcW w:w="1240" w:type="dxa"/>
            <w:noWrap/>
            <w:hideMark/>
          </w:tcPr>
          <w:p w14:paraId="19ED6ECF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285</w:t>
            </w:r>
          </w:p>
        </w:tc>
        <w:tc>
          <w:tcPr>
            <w:tcW w:w="1274" w:type="dxa"/>
            <w:noWrap/>
            <w:hideMark/>
          </w:tcPr>
          <w:p w14:paraId="44C0C29B" w14:textId="77777777" w:rsidR="00E26ADB" w:rsidRPr="001F0B0F" w:rsidRDefault="00E26ADB" w:rsidP="00E26ADB">
            <w:pPr>
              <w:pStyle w:val="Textkrper2"/>
              <w:ind w:left="284"/>
              <w:rPr>
                <w:b w:val="0"/>
                <w:sz w:val="22"/>
                <w:szCs w:val="22"/>
              </w:rPr>
            </w:pPr>
            <w:r w:rsidRPr="001F0B0F">
              <w:rPr>
                <w:b w:val="0"/>
                <w:sz w:val="22"/>
                <w:szCs w:val="22"/>
              </w:rPr>
              <w:t>361</w:t>
            </w:r>
          </w:p>
        </w:tc>
      </w:tr>
    </w:tbl>
    <w:p w14:paraId="5B50729F" w14:textId="77777777" w:rsidR="00E26ADB" w:rsidRDefault="00F46287" w:rsidP="00F46287">
      <w:r>
        <w:t>zuzüglich</w:t>
      </w:r>
    </w:p>
    <w:p w14:paraId="384A22EA" w14:textId="77777777" w:rsidR="00E26ADB" w:rsidRPr="00237A1F" w:rsidRDefault="00F46287" w:rsidP="00C419E1">
      <w:pPr>
        <w:pStyle w:val="Listenabsatz"/>
        <w:numPr>
          <w:ilvl w:val="0"/>
          <w:numId w:val="6"/>
        </w:numPr>
        <w:ind w:left="284" w:right="-567" w:hanging="284"/>
      </w:pPr>
      <w:r>
        <w:t xml:space="preserve">einem  </w:t>
      </w:r>
      <w:r w:rsidR="00E26ADB" w:rsidRPr="00237A1F">
        <w:t>Pflegegrundwert je Patient</w:t>
      </w:r>
      <w:r w:rsidR="00C419E1">
        <w:t>/in</w:t>
      </w:r>
      <w:r w:rsidR="00E26ADB" w:rsidRPr="00237A1F">
        <w:t xml:space="preserve"> und Tag 30 Minuten </w:t>
      </w:r>
      <w:r>
        <w:t>(Kinderkrankenpfl</w:t>
      </w:r>
      <w:r w:rsidR="006F7BB5">
        <w:t>e</w:t>
      </w:r>
      <w:r w:rsidR="00F66732">
        <w:t>ge 33 Minuten),</w:t>
      </w:r>
    </w:p>
    <w:p w14:paraId="0F2A4D18" w14:textId="77777777" w:rsidR="00F46287" w:rsidRDefault="00F46287" w:rsidP="00C419E1">
      <w:pPr>
        <w:pStyle w:val="Listenabsatz"/>
        <w:numPr>
          <w:ilvl w:val="0"/>
          <w:numId w:val="6"/>
        </w:numPr>
        <w:ind w:left="284" w:hanging="284"/>
      </w:pPr>
      <w:r>
        <w:t xml:space="preserve">am Aufnahmetag </w:t>
      </w:r>
      <w:r w:rsidR="00E26ADB" w:rsidRPr="00237A1F">
        <w:t>70 Minuten</w:t>
      </w:r>
      <w:r>
        <w:t>,</w:t>
      </w:r>
    </w:p>
    <w:p w14:paraId="64DC3C47" w14:textId="77777777" w:rsidR="00E26ADB" w:rsidRDefault="00F46287" w:rsidP="00C419E1">
      <w:pPr>
        <w:pStyle w:val="Listenabsatz"/>
        <w:numPr>
          <w:ilvl w:val="0"/>
          <w:numId w:val="6"/>
        </w:numPr>
        <w:ind w:left="284" w:hanging="284"/>
      </w:pPr>
      <w:r>
        <w:t xml:space="preserve">je </w:t>
      </w:r>
      <w:r w:rsidR="00E26ADB" w:rsidRPr="00237A1F">
        <w:t>zu versorgende</w:t>
      </w:r>
      <w:r>
        <w:t>s</w:t>
      </w:r>
      <w:r w:rsidR="00E26ADB" w:rsidRPr="00237A1F">
        <w:t xml:space="preserve"> gesunde</w:t>
      </w:r>
      <w:r w:rsidR="00F66732">
        <w:t>s</w:t>
      </w:r>
      <w:r w:rsidR="00E26ADB" w:rsidRPr="00237A1F">
        <w:t xml:space="preserve"> Neugeborene 110 Minuten je Tag.</w:t>
      </w:r>
    </w:p>
    <w:sectPr w:rsidR="00E26ADB" w:rsidSect="00506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C388" w14:textId="77777777" w:rsidR="00EE0963" w:rsidRDefault="00EE0963" w:rsidP="00CF6414">
      <w:r>
        <w:separator/>
      </w:r>
    </w:p>
  </w:endnote>
  <w:endnote w:type="continuationSeparator" w:id="0">
    <w:p w14:paraId="3ECE577B" w14:textId="77777777" w:rsidR="00EE0963" w:rsidRDefault="00EE0963" w:rsidP="00C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709A" w14:textId="77777777" w:rsidR="00CF6414" w:rsidRDefault="00CF64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C3AB" w14:textId="77777777" w:rsidR="00CF6414" w:rsidRDefault="00CF64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259A" w14:textId="77777777" w:rsidR="00CF6414" w:rsidRDefault="00CF64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AC725" w14:textId="77777777" w:rsidR="00EE0963" w:rsidRDefault="00EE0963" w:rsidP="00CF6414">
      <w:r>
        <w:separator/>
      </w:r>
    </w:p>
  </w:footnote>
  <w:footnote w:type="continuationSeparator" w:id="0">
    <w:p w14:paraId="70277D57" w14:textId="77777777" w:rsidR="00EE0963" w:rsidRDefault="00EE0963" w:rsidP="00CF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8F07" w14:textId="77777777" w:rsidR="00CF6414" w:rsidRDefault="00CF64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9265" w14:textId="77777777" w:rsidR="00CF6414" w:rsidRDefault="00CF64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248B" w14:textId="77777777" w:rsidR="00CF6414" w:rsidRDefault="00CF64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D3ABC"/>
    <w:multiLevelType w:val="multilevel"/>
    <w:tmpl w:val="E110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036AD"/>
    <w:multiLevelType w:val="hybridMultilevel"/>
    <w:tmpl w:val="9DAC7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401A"/>
    <w:multiLevelType w:val="multilevel"/>
    <w:tmpl w:val="C4F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427AA"/>
    <w:multiLevelType w:val="hybridMultilevel"/>
    <w:tmpl w:val="DC0AF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A568A"/>
    <w:multiLevelType w:val="hybridMultilevel"/>
    <w:tmpl w:val="60806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A1"/>
    <w:rsid w:val="00011662"/>
    <w:rsid w:val="00036773"/>
    <w:rsid w:val="001F0B0F"/>
    <w:rsid w:val="00201F42"/>
    <w:rsid w:val="00237A1F"/>
    <w:rsid w:val="00273200"/>
    <w:rsid w:val="003173AB"/>
    <w:rsid w:val="0050686B"/>
    <w:rsid w:val="006F7BB5"/>
    <w:rsid w:val="007F185F"/>
    <w:rsid w:val="00832FA1"/>
    <w:rsid w:val="00971B1F"/>
    <w:rsid w:val="00AC097D"/>
    <w:rsid w:val="00B66355"/>
    <w:rsid w:val="00C22891"/>
    <w:rsid w:val="00C419E1"/>
    <w:rsid w:val="00CF6414"/>
    <w:rsid w:val="00E26ADB"/>
    <w:rsid w:val="00EE0963"/>
    <w:rsid w:val="00F46287"/>
    <w:rsid w:val="00F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AD7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unhideWhenUsed/>
    <w:rsid w:val="00832FA1"/>
    <w:pPr>
      <w:jc w:val="center"/>
    </w:pPr>
    <w:rPr>
      <w:rFonts w:ascii="Arial" w:hAnsi="Arial"/>
      <w:b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832FA1"/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37A1F"/>
    <w:pPr>
      <w:spacing w:before="100" w:beforeAutospacing="1" w:after="100" w:afterAutospacing="1"/>
    </w:pPr>
  </w:style>
  <w:style w:type="paragraph" w:customStyle="1" w:styleId="Default">
    <w:name w:val="Default"/>
    <w:rsid w:val="00011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2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62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64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641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64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641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2020-08-06T07:36:00Z</dcterms:created>
  <dcterms:modified xsi:type="dcterms:W3CDTF">2020-08-06T07:36:00Z</dcterms:modified>
</cp:coreProperties>
</file>